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b/>
          <w:bCs/>
        </w:rPr>
        <w:t>Obliczanie podatków pośrednich i bezpośrednich - zadania powtórzeniowe</w:t>
      </w:r>
    </w:p>
    <w:p>
      <w:pPr>
        <w:jc w:val="center"/>
        <w:rPr>
          <w:b/>
          <w:bCs/>
        </w:rPr>
      </w:pPr>
    </w:p>
    <w:p>
      <w:pPr>
        <w:jc w:val="left"/>
        <w:rPr>
          <w:b/>
          <w:bCs/>
        </w:rPr>
      </w:pPr>
    </w:p>
    <w:p>
      <w:pPr>
        <w:jc w:val="left"/>
        <w:rPr>
          <w:b/>
          <w:bCs/>
        </w:rPr>
      </w:pPr>
      <w:r>
        <w:rPr>
          <w:b/>
          <w:bCs/>
        </w:rPr>
        <w:t>Zadanie 1</w:t>
      </w:r>
    </w:p>
    <w:p>
      <w:pPr>
        <w:jc w:val="left"/>
        <w:rPr>
          <w:b/>
          <w:bCs/>
        </w:rPr>
      </w:pPr>
    </w:p>
    <w:p>
      <w:pPr>
        <w:jc w:val="both"/>
        <w:rPr>
          <w:b/>
          <w:bCs/>
        </w:rPr>
      </w:pPr>
      <w:r>
        <w:rPr>
          <w:b/>
          <w:bCs/>
        </w:rPr>
        <w:t>W Urzędzie Gminy Maciejowice urzędnik ds. Naliczania wymiaru podatków pani Gertruda Spętana właśnie oblicza wymiar podatku gruntowego</w:t>
      </w:r>
      <w:r>
        <w:rPr>
          <w:b/>
          <w:bCs/>
        </w:rPr>
        <w:br w:type="textWrapping"/>
      </w:r>
      <w:r>
        <w:rPr>
          <w:b/>
          <w:bCs/>
        </w:rPr>
        <w:t>i od nieruchomości w gospodarstwie pana Andrzeja Śmiesznego.</w:t>
      </w:r>
      <w:r>
        <w:rPr>
          <w:b/>
          <w:bCs/>
        </w:rPr>
        <w:br w:type="textWrapping"/>
      </w:r>
      <w:r>
        <w:rPr>
          <w:b/>
          <w:bCs/>
        </w:rPr>
        <w:t>W gospodarstwie znajdują się: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b/>
          <w:bCs/>
        </w:rPr>
      </w:pPr>
      <w:r>
        <w:rPr>
          <w:b/>
          <w:bCs/>
        </w:rPr>
        <w:t>Budynek mieszkalny o powierzchni 150 mkw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b/>
          <w:bCs/>
        </w:rPr>
      </w:pPr>
      <w:r>
        <w:rPr>
          <w:b/>
          <w:bCs/>
        </w:rPr>
        <w:t>Budynek gospodarczy o powierzchni 75 mkw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b/>
          <w:bCs/>
        </w:rPr>
      </w:pPr>
      <w:r>
        <w:rPr>
          <w:b/>
          <w:bCs/>
        </w:rPr>
        <w:t>Grunty rolne klasy III o powierzchni 3,54 ha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b/>
          <w:bCs/>
        </w:rPr>
      </w:pPr>
      <w:r>
        <w:rPr>
          <w:b/>
          <w:bCs/>
        </w:rPr>
        <w:t>Grunty rolne klasy VI o powierzchni 1,45 ha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b/>
          <w:bCs/>
        </w:rPr>
      </w:pPr>
      <w:r>
        <w:rPr>
          <w:b/>
          <w:bCs/>
        </w:rPr>
        <w:t>Las o powierzchni 0,45 ha.</w:t>
      </w:r>
    </w:p>
    <w:p>
      <w:pPr>
        <w:numPr>
          <w:numId w:val="0"/>
        </w:numPr>
        <w:jc w:val="left"/>
        <w:rPr>
          <w:rFonts w:hint="default"/>
          <w:b/>
          <w:bCs/>
        </w:rPr>
      </w:pPr>
      <w:r>
        <w:rPr>
          <w:b/>
          <w:bCs/>
        </w:rPr>
        <w:t xml:space="preserve">Oblicz należności podatkowe pana Andrzeja Śmiesznego wiedząc, że tona żyta aktualnie kosztuje 575 zł a </w:t>
      </w:r>
      <w:r>
        <w:rPr>
          <w:rFonts w:hint="default"/>
          <w:b/>
          <w:bCs/>
        </w:rPr>
        <w:t>„metr kubiczny” drewna kosztuje 180 zł.</w:t>
      </w: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  <w:r>
        <w:rPr>
          <w:rFonts w:hint="default"/>
          <w:b/>
          <w:bCs/>
        </w:rPr>
        <w:t>Zadanie 2</w:t>
      </w: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  <w:r>
        <w:rPr>
          <w:rFonts w:hint="default"/>
          <w:b/>
          <w:bCs/>
        </w:rPr>
        <w:t xml:space="preserve">Pani Eulalia właśnie robi zakupy. Właśnie kupiła chleb w cenie netto 2,49 zł (+5 % VAT), ciastka w cenie netto 3,79 zł (+23 % VAT), przyprawę korzenną za 2,29 zł netto (+ 8 % VAT) oraz paczkę owoców morza za 12,99 zł netto (+ 23 % VAT). Ile łącznie zapłaciła pani Eulalia? </w:t>
      </w: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  <w:r>
        <w:rPr>
          <w:rFonts w:hint="default"/>
          <w:b/>
          <w:bCs/>
        </w:rPr>
        <w:t>Zadanie 3</w:t>
      </w: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  <w:r>
        <w:rPr>
          <w:rFonts w:hint="default"/>
          <w:b/>
          <w:bCs/>
        </w:rPr>
        <w:t>W 2019 roku pan Stanisław osiągnął łączny dochód w wysokości 62.575 zł. Jak co roku musi zapłacić podatek dochodowy (PIT), którego stawka w tym roku wynosi dokładnie 17,75 %. Kwota, jaką może odliczyć od podatku wynosi 1.750 zł. Oblicz kwotę podatku. Ustal, czy pan Stanisław musi „coś” dopłacić do US czy będzie miał zwrot nadpłaconych zaliczek jeżeli w ciągu roku odprowadzono od jego wynagrodzeń zaliczki na kwotę 3.500 zł.</w:t>
      </w:r>
      <w:bookmarkStart w:id="0" w:name="_GoBack"/>
      <w:bookmarkEnd w:id="0"/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p>
      <w:pPr>
        <w:numPr>
          <w:numId w:val="0"/>
        </w:numPr>
        <w:jc w:val="left"/>
        <w:rPr>
          <w:rFonts w:hint="default"/>
          <w:b/>
          <w:bCs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7FC0EF"/>
    <w:multiLevelType w:val="singleLevel"/>
    <w:tmpl w:val="FC7FC0E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57ABE42"/>
    <w:rsid w:val="B57AB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2020-05-28T14:04:00Z</dcterms:created>
  <dc:creator>zbigniew</dc:creator>
  <cp:lastModifiedBy>zbigniew</cp:lastModifiedBy>
  <dcterms:modified xsi:type="dcterms:W3CDTF">2020-05-28T14:44:50Z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1045-10.1.0.6757</vt:lpwstr>
  </property>
</Properties>
</file>